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586069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60022">
        <w:rPr>
          <w:b/>
          <w:noProof/>
          <w:sz w:val="24"/>
          <w:lang w:val="en-US"/>
        </w:rPr>
        <w:t>1</w:t>
      </w:r>
      <w:r w:rsidR="000C416C">
        <w:rPr>
          <w:b/>
          <w:noProof/>
          <w:sz w:val="24"/>
          <w:lang w:val="en-US"/>
        </w:rPr>
        <w:t xml:space="preserve"> 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3665E1">
        <w:rPr>
          <w:b/>
          <w:noProof/>
          <w:sz w:val="24"/>
          <w:lang w:val="en-US"/>
        </w:rPr>
        <w:t>00637</w:t>
      </w:r>
    </w:p>
    <w:p w14:paraId="351CA33D" w14:textId="3A92A763" w:rsidR="00347001" w:rsidRPr="002D2634" w:rsidRDefault="0076002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Athens, Greece</w:t>
      </w:r>
      <w:r w:rsidR="00236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February 27 to March 3</w:t>
      </w:r>
      <w:r w:rsidR="00410637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899D72F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850CBF">
        <w:rPr>
          <w:sz w:val="24"/>
          <w:lang w:val="pt-PT"/>
        </w:rPr>
        <w:t>8</w:t>
      </w:r>
      <w:r w:rsidR="008460EF">
        <w:rPr>
          <w:sz w:val="24"/>
          <w:lang w:val="pt-PT"/>
        </w:rPr>
        <w:t>.</w:t>
      </w:r>
      <w:r w:rsidR="00850CBF">
        <w:rPr>
          <w:sz w:val="24"/>
          <w:lang w:val="pt-PT"/>
        </w:rPr>
        <w:t>12.2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3447D0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50CBF">
        <w:rPr>
          <w:rFonts w:ascii="Arial" w:hAnsi="Arial"/>
          <w:sz w:val="24"/>
        </w:rPr>
        <w:t xml:space="preserve">Enhancements for IAB-node mobility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5E8E311" w:rsidR="00B65E42" w:rsidRDefault="00BF49E1" w:rsidP="006600CD">
      <w:pPr>
        <w:spacing w:after="0"/>
      </w:pPr>
      <w:r>
        <w:t>In the last meeting, RAN2 achieved the following agreements</w:t>
      </w:r>
      <w:r w:rsidR="00D80F5E"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500FA462" w14:textId="77777777" w:rsidR="00760022" w:rsidRPr="00105994" w:rsidRDefault="00760022" w:rsidP="00760022">
            <w:pPr>
              <w:pStyle w:val="Agreement"/>
              <w:tabs>
                <w:tab w:val="num" w:pos="1619"/>
              </w:tabs>
              <w:ind w:left="792"/>
            </w:pPr>
            <w:r>
              <w:t xml:space="preserve">R2 assumes that </w:t>
            </w:r>
            <w:proofErr w:type="gramStart"/>
            <w:r>
              <w:t>It</w:t>
            </w:r>
            <w:proofErr w:type="gramEnd"/>
            <w:r>
              <w:t xml:space="preserve"> is up to RAN3 or SA2 to decide whether to support early mobile IAB indication in Msg5 because it depends whether donor CU needs to select an AMF supporting mobile IAB. </w:t>
            </w:r>
          </w:p>
          <w:p w14:paraId="032216ED" w14:textId="77777777" w:rsidR="00760022" w:rsidRDefault="00760022" w:rsidP="00760022">
            <w:pPr>
              <w:pStyle w:val="Agreement"/>
              <w:tabs>
                <w:tab w:val="num" w:pos="1619"/>
              </w:tabs>
              <w:ind w:left="792"/>
            </w:pPr>
            <w:r>
              <w:t>R2 assumes that Donor CU can determine mobile IAB node's moving status via legacy reporting (</w:t>
            </w:r>
            <w:proofErr w:type="gramStart"/>
            <w:r>
              <w:t>e.g.</w:t>
            </w:r>
            <w:proofErr w:type="gramEnd"/>
            <w:r>
              <w:t xml:space="preserve"> mobility state and UE location / velocity specified in SON/MDT), i.e. R2 assumes enhanced / new reporting is not needed. </w:t>
            </w:r>
          </w:p>
          <w:p w14:paraId="4DD634F9" w14:textId="77777777" w:rsidR="00760022" w:rsidRDefault="00760022" w:rsidP="00760022">
            <w:pPr>
              <w:pStyle w:val="Agreement"/>
              <w:tabs>
                <w:tab w:val="num" w:pos="1619"/>
              </w:tabs>
              <w:ind w:left="792"/>
            </w:pPr>
            <w:r>
              <w:t xml:space="preserve">A mobile IAB node may camp on and connect to legacy Rel-16/Rel-17 IAB capable cell. </w:t>
            </w:r>
          </w:p>
          <w:p w14:paraId="2DBB1B1D" w14:textId="77777777" w:rsidR="00760022" w:rsidRDefault="00760022" w:rsidP="00760022">
            <w:pPr>
              <w:pStyle w:val="Agreement"/>
              <w:tabs>
                <w:tab w:val="num" w:pos="1619"/>
              </w:tabs>
              <w:ind w:left="792"/>
            </w:pPr>
            <w:r>
              <w:t>R2 assumes "supporting mobile-IAB" indication is provided by Rel-18 Mobile IAB capable parent cell.</w:t>
            </w:r>
          </w:p>
          <w:p w14:paraId="7E0BEC2A" w14:textId="77777777" w:rsidR="00760022" w:rsidRDefault="00760022" w:rsidP="00760022">
            <w:pPr>
              <w:pStyle w:val="Agreement"/>
              <w:tabs>
                <w:tab w:val="num" w:pos="1619"/>
              </w:tabs>
              <w:ind w:left="792"/>
            </w:pPr>
            <w:r>
              <w:t xml:space="preserve">Regarding the assumed </w:t>
            </w:r>
            <w:r w:rsidRPr="002A482A">
              <w:t>mobile-IAB cell type indication</w:t>
            </w:r>
            <w:r>
              <w:t xml:space="preserve">, RAN2 assumes is may be specified if some related UE behaviour is specified. </w:t>
            </w:r>
          </w:p>
          <w:p w14:paraId="080149EE" w14:textId="10B953D3" w:rsidR="00B65E42" w:rsidRPr="00BF49E1" w:rsidRDefault="00C96CAE" w:rsidP="00C96CAE">
            <w:pPr>
              <w:pStyle w:val="Doc-comment"/>
              <w:ind w:left="0" w:firstLine="0"/>
            </w:pPr>
            <w:r>
              <w:t xml:space="preserve"> 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7FEA31BB" w:rsidR="00F705E6" w:rsidRDefault="00D80F5E" w:rsidP="00F705E6">
      <w:pPr>
        <w:spacing w:after="0"/>
      </w:pPr>
      <w:r>
        <w:t xml:space="preserve">This contribution discusses </w:t>
      </w:r>
      <w:r w:rsidR="006729E9">
        <w:t>topics</w:t>
      </w:r>
      <w:r w:rsidR="005E359C">
        <w:t xml:space="preserve"> </w:t>
      </w:r>
      <w:r w:rsidR="006729E9">
        <w:t xml:space="preserve">related to </w:t>
      </w:r>
      <w:r w:rsidR="0054417F">
        <w:t>the mobility of the IAB-node and its UEs</w:t>
      </w:r>
      <w:r w:rsidR="00C01E8E">
        <w:t>.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2E5D70A2" w14:textId="1A69018A" w:rsidR="00773A96" w:rsidRDefault="00145DD6" w:rsidP="00773A96">
      <w:pPr>
        <w:pStyle w:val="Heading2"/>
      </w:pPr>
      <w:r>
        <w:t xml:space="preserve">2.1 </w:t>
      </w:r>
      <w:r>
        <w:tab/>
      </w:r>
      <w:r w:rsidR="00773A96">
        <w:t xml:space="preserve">Support </w:t>
      </w:r>
      <w:r>
        <w:t>for mobile</w:t>
      </w:r>
      <w:r w:rsidR="00296DE5">
        <w:t>-</w:t>
      </w:r>
      <w:r>
        <w:t>IAB</w:t>
      </w:r>
      <w:r w:rsidR="00296DE5">
        <w:t xml:space="preserve"> </w:t>
      </w:r>
      <w:r>
        <w:t>indication in Msg.5</w:t>
      </w:r>
    </w:p>
    <w:p w14:paraId="0EF640ED" w14:textId="4BD2FB59" w:rsidR="00145DD6" w:rsidRDefault="00145DD6" w:rsidP="00145DD6">
      <w:r>
        <w:t>SA2 has decided that the IAB-node needs to be authorized by the network for mobile IAB operation. TS 23.501, vs. 18.0, section 5.35A.4,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5DD6" w14:paraId="7EEBD959" w14:textId="77777777" w:rsidTr="00145DD6">
        <w:tc>
          <w:tcPr>
            <w:tcW w:w="9631" w:type="dxa"/>
          </w:tcPr>
          <w:p w14:paraId="198ADA77" w14:textId="497E40E7" w:rsidR="00145DD6" w:rsidRDefault="00145DD6" w:rsidP="00145DD6">
            <w:r>
              <w:t xml:space="preserve">When the MBSR (IAB-UE) performs initial registration with the serving PLMN, it indicates the request to operate as a MBSR as described in clause 5.35A.1. The AMF authorizes the MBSR based on the subscription </w:t>
            </w:r>
            <w:proofErr w:type="gramStart"/>
            <w:r>
              <w:t>information, and</w:t>
            </w:r>
            <w:proofErr w:type="gramEnd"/>
            <w:r>
              <w:t xml:space="preserve"> provides MBSR authorized indication to NG-RAN. The MBSR establishes the connection to OAM system using the configuration information for MBSR operation.</w:t>
            </w:r>
          </w:p>
        </w:tc>
      </w:tr>
    </w:tbl>
    <w:p w14:paraId="105E2060" w14:textId="67F8A983" w:rsidR="00145DD6" w:rsidRDefault="00145DD6" w:rsidP="00145DD6">
      <w:r>
        <w:t xml:space="preserve"> </w:t>
      </w:r>
    </w:p>
    <w:p w14:paraId="498BE872" w14:textId="72CAB900" w:rsidR="00145DD6" w:rsidRDefault="00145DD6" w:rsidP="00145DD6">
      <w:r>
        <w:t>This implies that the mobile IAB-MT needs to indicate the support of mobile IAB in Msg.5.</w:t>
      </w:r>
    </w:p>
    <w:p w14:paraId="04088BD5" w14:textId="60216F35" w:rsidR="00145DD6" w:rsidRPr="00145DD6" w:rsidRDefault="00145DD6" w:rsidP="00145DD6">
      <w:pPr>
        <w:rPr>
          <w:b/>
          <w:bCs/>
        </w:rPr>
      </w:pPr>
      <w:r w:rsidRPr="00145DD6">
        <w:rPr>
          <w:b/>
          <w:bCs/>
        </w:rPr>
        <w:t>Proposal 1: Based on SA2</w:t>
      </w:r>
      <w:r>
        <w:rPr>
          <w:b/>
          <w:bCs/>
        </w:rPr>
        <w:t>’s</w:t>
      </w:r>
      <w:r w:rsidRPr="00145DD6">
        <w:rPr>
          <w:b/>
          <w:bCs/>
        </w:rPr>
        <w:t xml:space="preserve"> decision </w:t>
      </w:r>
      <w:r>
        <w:rPr>
          <w:b/>
          <w:bCs/>
        </w:rPr>
        <w:t>for CN-based authorization of</w:t>
      </w:r>
      <w:r w:rsidRPr="00145DD6">
        <w:rPr>
          <w:b/>
          <w:bCs/>
        </w:rPr>
        <w:t xml:space="preserve"> mobile IAB</w:t>
      </w:r>
      <w:r>
        <w:rPr>
          <w:b/>
          <w:bCs/>
        </w:rPr>
        <w:t xml:space="preserve"> support</w:t>
      </w:r>
      <w:r w:rsidRPr="00145DD6">
        <w:rPr>
          <w:b/>
          <w:bCs/>
        </w:rPr>
        <w:t xml:space="preserve">, the mobile IAB-MT to include a mobile-IAB indication </w:t>
      </w:r>
      <w:r>
        <w:rPr>
          <w:b/>
          <w:bCs/>
        </w:rPr>
        <w:t>in</w:t>
      </w:r>
      <w:r w:rsidRPr="00145DD6">
        <w:rPr>
          <w:b/>
          <w:bCs/>
        </w:rPr>
        <w:t xml:space="preserve"> Msg. 5.</w:t>
      </w:r>
    </w:p>
    <w:p w14:paraId="0C8B675C" w14:textId="77777777" w:rsidR="00145DD6" w:rsidRPr="00145DD6" w:rsidRDefault="00145DD6" w:rsidP="00145DD6"/>
    <w:p w14:paraId="7A28C519" w14:textId="6A85E98B" w:rsidR="00773A96" w:rsidRPr="00320A6B" w:rsidRDefault="00773A96" w:rsidP="00773A96">
      <w:pPr>
        <w:pStyle w:val="Heading2"/>
      </w:pPr>
      <w:r w:rsidRPr="00320A6B">
        <w:t>2</w:t>
      </w:r>
      <w:r>
        <w:t>.2</w:t>
      </w:r>
      <w:r w:rsidRPr="00320A6B">
        <w:tab/>
      </w:r>
      <w:r>
        <w:t xml:space="preserve">UE </w:t>
      </w:r>
      <w:proofErr w:type="spellStart"/>
      <w:r>
        <w:t>behavior</w:t>
      </w:r>
      <w:proofErr w:type="spellEnd"/>
      <w:r>
        <w:t xml:space="preserve"> based on mobile-IAB-cell-type indication</w:t>
      </w:r>
    </w:p>
    <w:p w14:paraId="0D23C995" w14:textId="066B384D" w:rsidR="00DB4248" w:rsidRPr="00494EA9" w:rsidRDefault="00494EA9" w:rsidP="00713634">
      <w:pPr>
        <w:rPr>
          <w:lang w:val="en-US"/>
        </w:rPr>
      </w:pPr>
      <w:r w:rsidRPr="00494EA9">
        <w:rPr>
          <w:lang w:val="en-US"/>
        </w:rPr>
        <w:t xml:space="preserve">This paper discusses the behavior of the </w:t>
      </w:r>
      <w:r w:rsidR="00773A96">
        <w:rPr>
          <w:lang w:val="en-US"/>
        </w:rPr>
        <w:t xml:space="preserve">idle/inactive </w:t>
      </w:r>
      <w:r w:rsidRPr="00494EA9">
        <w:rPr>
          <w:lang w:val="en-US"/>
        </w:rPr>
        <w:t>Rel-18 UE when receiving a mobile-IAB-cell type indication.</w:t>
      </w:r>
    </w:p>
    <w:p w14:paraId="0D8E2718" w14:textId="4F7757EC" w:rsidR="00123920" w:rsidRDefault="00494EA9" w:rsidP="00713634">
      <w:pPr>
        <w:rPr>
          <w:lang w:val="en-US"/>
        </w:rPr>
      </w:pPr>
      <w:r w:rsidRPr="00494EA9">
        <w:rPr>
          <w:lang w:val="en-US"/>
        </w:rPr>
        <w:lastRenderedPageBreak/>
        <w:t>According to the Rel-18 mobile IAB WID [2], the mobile IAB-node can support surrounding UEs as well as onboard UEs.</w:t>
      </w:r>
      <w:r>
        <w:rPr>
          <w:lang w:val="en-US"/>
        </w:rPr>
        <w:t xml:space="preserve"> </w:t>
      </w:r>
      <w:r w:rsidR="00123920">
        <w:rPr>
          <w:lang w:val="en-US"/>
        </w:rPr>
        <w:t>The WID further states that</w:t>
      </w:r>
      <w:r>
        <w:rPr>
          <w:lang w:val="en-US"/>
        </w:rPr>
        <w:t xml:space="preserve"> no optimizations should be pursued for </w:t>
      </w:r>
      <w:r w:rsidR="00123920">
        <w:rPr>
          <w:lang w:val="en-US"/>
        </w:rPr>
        <w:t xml:space="preserve">an </w:t>
      </w:r>
      <w:proofErr w:type="spellStart"/>
      <w:r w:rsidR="00123920">
        <w:rPr>
          <w:lang w:val="en-US"/>
        </w:rPr>
        <w:t>mIAB</w:t>
      </w:r>
      <w:proofErr w:type="spellEnd"/>
      <w:r w:rsidR="00123920">
        <w:rPr>
          <w:lang w:val="en-US"/>
        </w:rPr>
        <w:t>-node</w:t>
      </w:r>
      <w:r>
        <w:rPr>
          <w:lang w:val="en-US"/>
        </w:rPr>
        <w:t xml:space="preserve"> targeting surrounding UEs. This implies that the mobile-IAB-cell type indicator should only be broadcast when </w:t>
      </w:r>
      <w:r w:rsidR="00123920">
        <w:rPr>
          <w:lang w:val="en-US"/>
        </w:rPr>
        <w:t xml:space="preserve">the </w:t>
      </w:r>
      <w:proofErr w:type="spellStart"/>
      <w:r w:rsidR="00123920">
        <w:rPr>
          <w:lang w:val="en-US"/>
        </w:rPr>
        <w:t>mIAB</w:t>
      </w:r>
      <w:proofErr w:type="spellEnd"/>
      <w:r w:rsidR="00123920">
        <w:rPr>
          <w:lang w:val="en-US"/>
        </w:rPr>
        <w:t>-node targets</w:t>
      </w:r>
      <w:r>
        <w:rPr>
          <w:lang w:val="en-US"/>
        </w:rPr>
        <w:t xml:space="preserve"> onboard UEs.</w:t>
      </w:r>
      <w:r w:rsidR="00123920">
        <w:rPr>
          <w:lang w:val="en-US"/>
        </w:rPr>
        <w:t xml:space="preserve"> Further, in case the </w:t>
      </w:r>
      <w:proofErr w:type="spellStart"/>
      <w:r w:rsidR="00123920">
        <w:rPr>
          <w:lang w:val="en-US"/>
        </w:rPr>
        <w:t>mIAB</w:t>
      </w:r>
      <w:proofErr w:type="spellEnd"/>
      <w:r w:rsidR="00123920">
        <w:rPr>
          <w:lang w:val="en-US"/>
        </w:rPr>
        <w:t>-node does target surrounding UEs it can be expected to move at rather low speed, where UEs should apply the same reselection behavior as for stationary cells.</w:t>
      </w:r>
    </w:p>
    <w:p w14:paraId="1A1A5A1C" w14:textId="4F4243E1" w:rsidR="007B12D7" w:rsidRPr="007B12D7" w:rsidRDefault="007B12D7" w:rsidP="007B12D7">
      <w:pPr>
        <w:spacing w:after="160" w:line="259" w:lineRule="auto"/>
        <w:rPr>
          <w:b/>
          <w:bCs/>
        </w:rPr>
      </w:pPr>
      <w:r w:rsidRPr="007B12D7">
        <w:rPr>
          <w:b/>
          <w:bCs/>
          <w:lang w:val="en-US"/>
        </w:rPr>
        <w:t xml:space="preserve">Proposal </w:t>
      </w:r>
      <w:r w:rsidR="00145DD6">
        <w:rPr>
          <w:b/>
          <w:bCs/>
          <w:lang w:val="en-US"/>
        </w:rPr>
        <w:t>2</w:t>
      </w:r>
      <w:r w:rsidRPr="007B12D7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The m</w:t>
      </w:r>
      <w:proofErr w:type="spellStart"/>
      <w:r w:rsidRPr="007B12D7">
        <w:rPr>
          <w:b/>
          <w:bCs/>
        </w:rPr>
        <w:t>obile</w:t>
      </w:r>
      <w:proofErr w:type="spellEnd"/>
      <w:r w:rsidRPr="007B12D7">
        <w:rPr>
          <w:b/>
          <w:bCs/>
        </w:rPr>
        <w:t>-IAB</w:t>
      </w:r>
      <w:r w:rsidR="00333081">
        <w:rPr>
          <w:b/>
          <w:bCs/>
        </w:rPr>
        <w:t xml:space="preserve"> </w:t>
      </w:r>
      <w:r w:rsidRPr="007B12D7">
        <w:rPr>
          <w:b/>
          <w:bCs/>
        </w:rPr>
        <w:t>cell should only broadcast the mobile-IAB-cell</w:t>
      </w:r>
      <w:r w:rsidR="00333081">
        <w:rPr>
          <w:b/>
          <w:bCs/>
        </w:rPr>
        <w:t>-type</w:t>
      </w:r>
      <w:r w:rsidRPr="007B12D7">
        <w:rPr>
          <w:b/>
          <w:bCs/>
        </w:rPr>
        <w:t xml:space="preserve"> indicator </w:t>
      </w:r>
      <w:r>
        <w:rPr>
          <w:b/>
          <w:bCs/>
        </w:rPr>
        <w:t>when it</w:t>
      </w:r>
      <w:r w:rsidRPr="007B12D7">
        <w:rPr>
          <w:b/>
          <w:bCs/>
        </w:rPr>
        <w:t xml:space="preserve"> is designed to target onboard UEs. </w:t>
      </w:r>
    </w:p>
    <w:p w14:paraId="15F7A88B" w14:textId="3B000767" w:rsidR="00123920" w:rsidRPr="005B3F3E" w:rsidRDefault="00123920" w:rsidP="00123920">
      <w:pPr>
        <w:spacing w:after="160" w:line="259" w:lineRule="auto"/>
      </w:pPr>
      <w:r w:rsidRPr="005B3F3E">
        <w:t>Assuming P1 is agreed, it can be assumed that the UE gives special consideration to the reselection of mobile</w:t>
      </w:r>
      <w:r w:rsidR="00333081" w:rsidRPr="005B3F3E">
        <w:t>-IAB</w:t>
      </w:r>
      <w:r w:rsidRPr="005B3F3E">
        <w:t xml:space="preserve"> cells only if it considers itself onboard of the vehicle hosting the mobile cell. </w:t>
      </w:r>
      <w:r w:rsidR="00333081" w:rsidRPr="005B3F3E">
        <w:t xml:space="preserve">For an onboard UE camping on a mobile-IAB cell, the reselection of another mobile-IAB cell may be necessary during DU migration or PCI change, and in these </w:t>
      </w:r>
      <w:proofErr w:type="gramStart"/>
      <w:r w:rsidR="00333081" w:rsidRPr="005B3F3E">
        <w:t>scenarios</w:t>
      </w:r>
      <w:proofErr w:type="gramEnd"/>
      <w:r w:rsidR="00333081" w:rsidRPr="005B3F3E">
        <w:t xml:space="preserve"> it might be justified to apply higher prioritization to such reselection. </w:t>
      </w:r>
    </w:p>
    <w:p w14:paraId="55CA854A" w14:textId="077BCE2B" w:rsidR="00123920" w:rsidRPr="005B3F3E" w:rsidRDefault="00123920" w:rsidP="00123920">
      <w:pPr>
        <w:spacing w:after="160" w:line="259" w:lineRule="auto"/>
        <w:rPr>
          <w:b/>
          <w:bCs/>
        </w:rPr>
      </w:pPr>
      <w:r w:rsidRPr="005B3F3E">
        <w:rPr>
          <w:b/>
          <w:bCs/>
        </w:rPr>
        <w:t xml:space="preserve">Proposal </w:t>
      </w:r>
      <w:r w:rsidR="00145DD6">
        <w:rPr>
          <w:b/>
          <w:bCs/>
        </w:rPr>
        <w:t>3</w:t>
      </w:r>
      <w:r w:rsidRPr="005B3F3E">
        <w:rPr>
          <w:b/>
          <w:bCs/>
        </w:rPr>
        <w:t xml:space="preserve">: </w:t>
      </w:r>
      <w:r w:rsidR="00380A53" w:rsidRPr="005B3F3E">
        <w:rPr>
          <w:b/>
          <w:bCs/>
        </w:rPr>
        <w:t>In case P1 is agreed, a</w:t>
      </w:r>
      <w:r w:rsidRPr="005B3F3E">
        <w:rPr>
          <w:b/>
          <w:bCs/>
        </w:rPr>
        <w:t xml:space="preserve"> UE </w:t>
      </w:r>
      <w:r w:rsidR="00380A53" w:rsidRPr="005B3F3E">
        <w:rPr>
          <w:b/>
          <w:bCs/>
        </w:rPr>
        <w:t xml:space="preserve">may give higher preference to the reselection of a mobile-IAB-cell </w:t>
      </w:r>
      <w:r w:rsidR="00333081" w:rsidRPr="005B3F3E">
        <w:rPr>
          <w:b/>
          <w:bCs/>
        </w:rPr>
        <w:t>in case</w:t>
      </w:r>
      <w:r w:rsidR="00380A53" w:rsidRPr="005B3F3E">
        <w:rPr>
          <w:b/>
          <w:bCs/>
        </w:rPr>
        <w:t xml:space="preserve"> it considers itself onboard of the </w:t>
      </w:r>
      <w:r w:rsidRPr="005B3F3E">
        <w:rPr>
          <w:b/>
          <w:bCs/>
        </w:rPr>
        <w:t>vehicle hosting the mobile</w:t>
      </w:r>
      <w:r w:rsidR="00380A53" w:rsidRPr="005B3F3E">
        <w:rPr>
          <w:b/>
          <w:bCs/>
        </w:rPr>
        <w:t>-</w:t>
      </w:r>
      <w:r w:rsidRPr="005B3F3E">
        <w:rPr>
          <w:b/>
          <w:bCs/>
        </w:rPr>
        <w:t>IAB</w:t>
      </w:r>
      <w:r w:rsidR="00380A53" w:rsidRPr="005B3F3E">
        <w:rPr>
          <w:b/>
          <w:bCs/>
        </w:rPr>
        <w:t xml:space="preserve"> </w:t>
      </w:r>
      <w:r w:rsidRPr="005B3F3E">
        <w:rPr>
          <w:b/>
          <w:bCs/>
        </w:rPr>
        <w:t xml:space="preserve">cell. </w:t>
      </w:r>
    </w:p>
    <w:p w14:paraId="077160B5" w14:textId="032BA3A3" w:rsidR="00380A53" w:rsidRPr="005B3F3E" w:rsidRDefault="00380A53" w:rsidP="00380A53">
      <w:pPr>
        <w:spacing w:after="160" w:line="259" w:lineRule="auto"/>
      </w:pPr>
      <w:r w:rsidRPr="005B3F3E">
        <w:t>The UE may not consider itself onboard of the vehicle hosting the mobile-IAB cell in case it is not camping on a mobile-IAB cell and has observed the mobile-IAB cell just for a short period of time.</w:t>
      </w:r>
    </w:p>
    <w:p w14:paraId="36E25E51" w14:textId="3F5B1BF3" w:rsidR="00380A53" w:rsidRPr="005B3F3E" w:rsidRDefault="00380A53" w:rsidP="00380A53">
      <w:pPr>
        <w:spacing w:after="160" w:line="259" w:lineRule="auto"/>
      </w:pPr>
      <w:r w:rsidRPr="005B3F3E">
        <w:rPr>
          <w:b/>
          <w:bCs/>
        </w:rPr>
        <w:t xml:space="preserve">Proposal </w:t>
      </w:r>
      <w:r w:rsidR="00145DD6">
        <w:rPr>
          <w:b/>
          <w:bCs/>
        </w:rPr>
        <w:t>4</w:t>
      </w:r>
      <w:r w:rsidRPr="005B3F3E">
        <w:rPr>
          <w:b/>
          <w:bCs/>
        </w:rPr>
        <w:t xml:space="preserve">: </w:t>
      </w:r>
      <w:r w:rsidR="00333081" w:rsidRPr="005B3F3E">
        <w:rPr>
          <w:b/>
          <w:bCs/>
        </w:rPr>
        <w:t xml:space="preserve">The </w:t>
      </w:r>
      <w:r w:rsidRPr="005B3F3E">
        <w:rPr>
          <w:b/>
          <w:bCs/>
        </w:rPr>
        <w:t xml:space="preserve">UE </w:t>
      </w:r>
      <w:r w:rsidRPr="005B3F3E">
        <w:rPr>
          <w:b/>
          <w:bCs/>
          <w:u w:val="single"/>
        </w:rPr>
        <w:t>may not</w:t>
      </w:r>
      <w:r w:rsidRPr="005B3F3E">
        <w:rPr>
          <w:b/>
          <w:bCs/>
        </w:rPr>
        <w:t xml:space="preserve"> consider itself onboard of a vehicle hosting the mobile-IAB cell in case it is not camping on a mobile-IAB cell and </w:t>
      </w:r>
      <w:r w:rsidR="00333081" w:rsidRPr="005B3F3E">
        <w:rPr>
          <w:b/>
          <w:bCs/>
        </w:rPr>
        <w:t xml:space="preserve">it </w:t>
      </w:r>
      <w:r w:rsidRPr="005B3F3E">
        <w:rPr>
          <w:b/>
          <w:bCs/>
        </w:rPr>
        <w:t xml:space="preserve">has </w:t>
      </w:r>
      <w:r w:rsidR="00333081" w:rsidRPr="005B3F3E">
        <w:rPr>
          <w:b/>
          <w:bCs/>
        </w:rPr>
        <w:t xml:space="preserve">not </w:t>
      </w:r>
      <w:r w:rsidRPr="005B3F3E">
        <w:rPr>
          <w:b/>
          <w:bCs/>
        </w:rPr>
        <w:t xml:space="preserve">observed the mobile-IAB cell for </w:t>
      </w:r>
      <w:r w:rsidR="00333081" w:rsidRPr="005B3F3E">
        <w:rPr>
          <w:b/>
          <w:bCs/>
        </w:rPr>
        <w:t>a prolonged time</w:t>
      </w:r>
      <w:r w:rsidRPr="005B3F3E">
        <w:rPr>
          <w:b/>
          <w:bCs/>
        </w:rPr>
        <w:t>.</w:t>
      </w:r>
    </w:p>
    <w:p w14:paraId="4596F64A" w14:textId="29B98A23" w:rsidR="00380A53" w:rsidRPr="005B3F3E" w:rsidRDefault="00380A53" w:rsidP="00380A53">
      <w:pPr>
        <w:spacing w:after="160" w:line="259" w:lineRule="auto"/>
      </w:pPr>
      <w:r w:rsidRPr="005B3F3E">
        <w:t xml:space="preserve">The UE may assume that it is onboard of the vehicle </w:t>
      </w:r>
      <w:r w:rsidR="00333081" w:rsidRPr="005B3F3E">
        <w:t xml:space="preserve">hosting a mobile-IAB cell </w:t>
      </w:r>
      <w:r w:rsidRPr="005B3F3E">
        <w:t>if one of the following conditions apply:</w:t>
      </w:r>
    </w:p>
    <w:p w14:paraId="4B735876" w14:textId="439C4F13" w:rsidR="00380A53" w:rsidRPr="005B3F3E" w:rsidRDefault="00380A53" w:rsidP="00380A53">
      <w:pPr>
        <w:pStyle w:val="ListParagraph"/>
        <w:numPr>
          <w:ilvl w:val="0"/>
          <w:numId w:val="48"/>
        </w:numPr>
        <w:spacing w:after="160" w:line="259" w:lineRule="auto"/>
      </w:pPr>
      <w:r w:rsidRPr="005B3F3E">
        <w:t>The UE is camping on a mobile-IAB cell.</w:t>
      </w:r>
    </w:p>
    <w:p w14:paraId="23159012" w14:textId="77777777" w:rsidR="00380A53" w:rsidRPr="005B3F3E" w:rsidRDefault="00380A53" w:rsidP="00380A53">
      <w:pPr>
        <w:pStyle w:val="ListParagraph"/>
        <w:spacing w:after="160" w:line="259" w:lineRule="auto"/>
      </w:pPr>
    </w:p>
    <w:p w14:paraId="0D44B6EB" w14:textId="27C62703" w:rsidR="00380A53" w:rsidRPr="005B3F3E" w:rsidRDefault="00380A53" w:rsidP="00380A53">
      <w:pPr>
        <w:pStyle w:val="ListParagraph"/>
        <w:numPr>
          <w:ilvl w:val="0"/>
          <w:numId w:val="48"/>
        </w:numPr>
        <w:spacing w:after="160" w:line="259" w:lineRule="auto"/>
      </w:pPr>
      <w:r w:rsidRPr="005B3F3E">
        <w:t xml:space="preserve">The UE has observed a mobile-IAB cell for a prolonged </w:t>
      </w:r>
      <w:proofErr w:type="gramStart"/>
      <w:r w:rsidRPr="005B3F3E">
        <w:t>period of time</w:t>
      </w:r>
      <w:proofErr w:type="gramEnd"/>
      <w:r w:rsidRPr="005B3F3E">
        <w:t>.</w:t>
      </w:r>
    </w:p>
    <w:p w14:paraId="2559889D" w14:textId="1A814E45" w:rsidR="00380A53" w:rsidRPr="005B3F3E" w:rsidRDefault="00380A53" w:rsidP="00123920">
      <w:pPr>
        <w:spacing w:after="160" w:line="259" w:lineRule="auto"/>
      </w:pPr>
      <w:r w:rsidRPr="005B3F3E">
        <w:t>Under either of these conditions, the UE may apply higher priority to the reselection of mobile-IAB cells.</w:t>
      </w:r>
    </w:p>
    <w:p w14:paraId="13C22C46" w14:textId="6F1C5EE2" w:rsidR="00380A53" w:rsidRPr="005B3F3E" w:rsidRDefault="00380A53" w:rsidP="00380A53">
      <w:pPr>
        <w:spacing w:after="160" w:line="259" w:lineRule="auto"/>
      </w:pPr>
      <w:r w:rsidRPr="005B3F3E">
        <w:rPr>
          <w:b/>
          <w:bCs/>
        </w:rPr>
        <w:t xml:space="preserve">Proposal </w:t>
      </w:r>
      <w:r w:rsidR="00145DD6">
        <w:rPr>
          <w:b/>
          <w:bCs/>
        </w:rPr>
        <w:t>5</w:t>
      </w:r>
      <w:r w:rsidRPr="005B3F3E">
        <w:rPr>
          <w:b/>
          <w:bCs/>
        </w:rPr>
        <w:t xml:space="preserve">: The UE </w:t>
      </w:r>
      <w:r w:rsidRPr="005B3F3E">
        <w:rPr>
          <w:b/>
          <w:bCs/>
          <w:u w:val="single"/>
        </w:rPr>
        <w:t>may</w:t>
      </w:r>
      <w:r w:rsidRPr="005B3F3E">
        <w:rPr>
          <w:b/>
          <w:bCs/>
        </w:rPr>
        <w:t xml:space="preserve"> consider itself onboard of a vehicle hosting a mobile-IAB cell in case it is camping on a mobile-IAB cell or in case it has received the mobile-IAB cell for a prolonged </w:t>
      </w:r>
      <w:proofErr w:type="gramStart"/>
      <w:r w:rsidRPr="005B3F3E">
        <w:rPr>
          <w:b/>
          <w:bCs/>
        </w:rPr>
        <w:t>time period</w:t>
      </w:r>
      <w:proofErr w:type="gramEnd"/>
      <w:r w:rsidRPr="005B3F3E">
        <w:rPr>
          <w:b/>
          <w:bCs/>
        </w:rPr>
        <w:t>.</w:t>
      </w:r>
    </w:p>
    <w:p w14:paraId="31A5ADD9" w14:textId="77777777" w:rsidR="00A00EC3" w:rsidRPr="005B3F3E" w:rsidRDefault="00333081" w:rsidP="00123920">
      <w:pPr>
        <w:spacing w:after="160" w:line="259" w:lineRule="auto"/>
      </w:pPr>
      <w:r w:rsidRPr="005B3F3E">
        <w:t>The above proposals P1 to P4 do not consider the UE’s mobility state. Since the determination of the mobility state is based on a series of reselections, it may consume a considerable amount of time</w:t>
      </w:r>
      <w:r w:rsidR="00983BCB" w:rsidRPr="005B3F3E">
        <w:t>, which may be much larger than the time frame it usually takes to enter a vehicle and re-select a mobile-IAB cell</w:t>
      </w:r>
      <w:r w:rsidR="00A00EC3" w:rsidRPr="005B3F3E">
        <w:t>, or the time frame to disembark and re-select a cell from the stationary network</w:t>
      </w:r>
      <w:r w:rsidRPr="005B3F3E">
        <w:t>.</w:t>
      </w:r>
      <w:r w:rsidR="00983BCB" w:rsidRPr="005B3F3E">
        <w:t xml:space="preserve"> </w:t>
      </w:r>
    </w:p>
    <w:p w14:paraId="474FFC3A" w14:textId="23B9C9EA" w:rsidR="00A00EC3" w:rsidRPr="005B3F3E" w:rsidRDefault="00A00EC3" w:rsidP="00123920">
      <w:pPr>
        <w:spacing w:after="160" w:line="259" w:lineRule="auto"/>
      </w:pPr>
      <w:r w:rsidRPr="005B3F3E">
        <w:t xml:space="preserve">Further, in case the UE is onboard the vehicle, its relative speed with respect to the onboard mobile-IAB cell is essentially zero while its speed with respect to surrounding cells may be very high. </w:t>
      </w:r>
      <w:r w:rsidR="005B3F3E" w:rsidRPr="005B3F3E">
        <w:t xml:space="preserve">It is also possible that the onboard mobile-IAB node may perform a DU migration or PCI change procedure, which requires a cell reselection. Under these circumstances, it is rather impossible for the UE to obtain a meaningful estimate of its mobility state based on cell reselections.  </w:t>
      </w:r>
    </w:p>
    <w:p w14:paraId="2F01463D" w14:textId="5F65C170" w:rsidR="00494EA9" w:rsidRPr="005B3F3E" w:rsidRDefault="005B3F3E" w:rsidP="005B3F3E">
      <w:pPr>
        <w:spacing w:after="160" w:line="259" w:lineRule="auto"/>
        <w:rPr>
          <w:b/>
          <w:bCs/>
          <w:lang w:val="en-US"/>
        </w:rPr>
      </w:pPr>
      <w:r w:rsidRPr="005B3F3E">
        <w:rPr>
          <w:b/>
          <w:bCs/>
        </w:rPr>
        <w:t xml:space="preserve">Proposal </w:t>
      </w:r>
      <w:r w:rsidR="00145DD6">
        <w:rPr>
          <w:b/>
          <w:bCs/>
        </w:rPr>
        <w:t>6</w:t>
      </w:r>
      <w:r w:rsidRPr="005B3F3E">
        <w:rPr>
          <w:b/>
          <w:bCs/>
        </w:rPr>
        <w:t xml:space="preserve">: The UE need not rely on its mobility state </w:t>
      </w:r>
      <w:r w:rsidR="00F430F6">
        <w:rPr>
          <w:b/>
          <w:bCs/>
        </w:rPr>
        <w:t xml:space="preserve">determination </w:t>
      </w:r>
      <w:r w:rsidRPr="005B3F3E">
        <w:rPr>
          <w:b/>
          <w:bCs/>
        </w:rPr>
        <w:t xml:space="preserve">when considering the reselection of a mobile-IAB cells.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250BD53F" w14:textId="0D99B0C8" w:rsidR="0096408F" w:rsidRDefault="00561CD2" w:rsidP="001D15C1">
      <w:pPr>
        <w:spacing w:after="120"/>
      </w:pPr>
      <w:r>
        <w:t xml:space="preserve">This contribution discussed </w:t>
      </w:r>
      <w:r w:rsidR="0054417F">
        <w:t>topic related to the mobility of the IAB-node and its UEs</w:t>
      </w:r>
      <w:r w:rsidR="00C01E8E">
        <w:t xml:space="preserve">. </w:t>
      </w:r>
      <w:r w:rsidR="005A73AD">
        <w:t>The following proposals have been made:</w:t>
      </w:r>
    </w:p>
    <w:p w14:paraId="436519A5" w14:textId="77777777" w:rsidR="00145DD6" w:rsidRPr="00145DD6" w:rsidRDefault="00145DD6" w:rsidP="00145DD6">
      <w:pPr>
        <w:rPr>
          <w:b/>
          <w:bCs/>
        </w:rPr>
      </w:pPr>
      <w:r w:rsidRPr="00145DD6">
        <w:rPr>
          <w:b/>
          <w:bCs/>
        </w:rPr>
        <w:t>Proposal 1: Based on SA2</w:t>
      </w:r>
      <w:r>
        <w:rPr>
          <w:b/>
          <w:bCs/>
        </w:rPr>
        <w:t>’s</w:t>
      </w:r>
      <w:r w:rsidRPr="00145DD6">
        <w:rPr>
          <w:b/>
          <w:bCs/>
        </w:rPr>
        <w:t xml:space="preserve"> decision </w:t>
      </w:r>
      <w:r>
        <w:rPr>
          <w:b/>
          <w:bCs/>
        </w:rPr>
        <w:t>for CN-based authorization of</w:t>
      </w:r>
      <w:r w:rsidRPr="00145DD6">
        <w:rPr>
          <w:b/>
          <w:bCs/>
        </w:rPr>
        <w:t xml:space="preserve"> mobile IAB</w:t>
      </w:r>
      <w:r>
        <w:rPr>
          <w:b/>
          <w:bCs/>
        </w:rPr>
        <w:t xml:space="preserve"> support</w:t>
      </w:r>
      <w:r w:rsidRPr="00145DD6">
        <w:rPr>
          <w:b/>
          <w:bCs/>
        </w:rPr>
        <w:t xml:space="preserve">, the mobile IAB-MT to include a mobile-IAB indication </w:t>
      </w:r>
      <w:r>
        <w:rPr>
          <w:b/>
          <w:bCs/>
        </w:rPr>
        <w:t>in</w:t>
      </w:r>
      <w:r w:rsidRPr="00145DD6">
        <w:rPr>
          <w:b/>
          <w:bCs/>
        </w:rPr>
        <w:t xml:space="preserve"> Msg. 5.</w:t>
      </w:r>
    </w:p>
    <w:p w14:paraId="67836B37" w14:textId="77777777" w:rsidR="00145DD6" w:rsidRPr="007B12D7" w:rsidRDefault="00145DD6" w:rsidP="00145DD6">
      <w:pPr>
        <w:spacing w:after="160" w:line="259" w:lineRule="auto"/>
        <w:rPr>
          <w:b/>
          <w:bCs/>
        </w:rPr>
      </w:pPr>
      <w:r w:rsidRPr="007B12D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7B12D7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The m</w:t>
      </w:r>
      <w:proofErr w:type="spellStart"/>
      <w:r w:rsidRPr="007B12D7">
        <w:rPr>
          <w:b/>
          <w:bCs/>
        </w:rPr>
        <w:t>obile</w:t>
      </w:r>
      <w:proofErr w:type="spellEnd"/>
      <w:r w:rsidRPr="007B12D7">
        <w:rPr>
          <w:b/>
          <w:bCs/>
        </w:rPr>
        <w:t>-IAB</w:t>
      </w:r>
      <w:r>
        <w:rPr>
          <w:b/>
          <w:bCs/>
        </w:rPr>
        <w:t xml:space="preserve"> </w:t>
      </w:r>
      <w:r w:rsidRPr="007B12D7">
        <w:rPr>
          <w:b/>
          <w:bCs/>
        </w:rPr>
        <w:t>cell should only broadcast the mobile-IAB-cell</w:t>
      </w:r>
      <w:r>
        <w:rPr>
          <w:b/>
          <w:bCs/>
        </w:rPr>
        <w:t>-type</w:t>
      </w:r>
      <w:r w:rsidRPr="007B12D7">
        <w:rPr>
          <w:b/>
          <w:bCs/>
        </w:rPr>
        <w:t xml:space="preserve"> indicator </w:t>
      </w:r>
      <w:r>
        <w:rPr>
          <w:b/>
          <w:bCs/>
        </w:rPr>
        <w:t>when it</w:t>
      </w:r>
      <w:r w:rsidRPr="007B12D7">
        <w:rPr>
          <w:b/>
          <w:bCs/>
        </w:rPr>
        <w:t xml:space="preserve"> is designed to target onboard UEs. </w:t>
      </w:r>
    </w:p>
    <w:p w14:paraId="372B0868" w14:textId="77777777" w:rsidR="00145DD6" w:rsidRPr="005B3F3E" w:rsidRDefault="00145DD6" w:rsidP="00145DD6">
      <w:pPr>
        <w:spacing w:after="160" w:line="259" w:lineRule="auto"/>
        <w:rPr>
          <w:b/>
          <w:bCs/>
        </w:rPr>
      </w:pPr>
      <w:r w:rsidRPr="005B3F3E">
        <w:rPr>
          <w:b/>
          <w:bCs/>
        </w:rPr>
        <w:t xml:space="preserve">Proposal </w:t>
      </w:r>
      <w:r>
        <w:rPr>
          <w:b/>
          <w:bCs/>
        </w:rPr>
        <w:t>3</w:t>
      </w:r>
      <w:r w:rsidRPr="005B3F3E">
        <w:rPr>
          <w:b/>
          <w:bCs/>
        </w:rPr>
        <w:t xml:space="preserve">: In case P1 is agreed, a UE may give higher preference to the reselection of a mobile-IAB-cell in case it considers itself onboard of the vehicle hosting the mobile-IAB cell. </w:t>
      </w:r>
    </w:p>
    <w:p w14:paraId="395C8F2D" w14:textId="77777777" w:rsidR="00145DD6" w:rsidRPr="005B3F3E" w:rsidRDefault="00145DD6" w:rsidP="00145DD6">
      <w:pPr>
        <w:spacing w:after="160" w:line="259" w:lineRule="auto"/>
      </w:pPr>
      <w:r w:rsidRPr="005B3F3E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5B3F3E">
        <w:rPr>
          <w:b/>
          <w:bCs/>
        </w:rPr>
        <w:t xml:space="preserve">: The UE </w:t>
      </w:r>
      <w:r w:rsidRPr="005B3F3E">
        <w:rPr>
          <w:b/>
          <w:bCs/>
          <w:u w:val="single"/>
        </w:rPr>
        <w:t>may not</w:t>
      </w:r>
      <w:r w:rsidRPr="005B3F3E">
        <w:rPr>
          <w:b/>
          <w:bCs/>
        </w:rPr>
        <w:t xml:space="preserve"> consider itself onboard of a vehicle hosting the mobile-IAB cell in case it is not camping on a mobile-IAB cell and it has not observed the mobile-IAB cell for a prolonged time.</w:t>
      </w:r>
    </w:p>
    <w:p w14:paraId="6A52D71A" w14:textId="77777777" w:rsidR="00145DD6" w:rsidRPr="005B3F3E" w:rsidRDefault="00145DD6" w:rsidP="00145DD6">
      <w:pPr>
        <w:spacing w:after="160" w:line="259" w:lineRule="auto"/>
      </w:pPr>
      <w:r w:rsidRPr="005B3F3E">
        <w:rPr>
          <w:b/>
          <w:bCs/>
        </w:rPr>
        <w:t xml:space="preserve">Proposal </w:t>
      </w:r>
      <w:r>
        <w:rPr>
          <w:b/>
          <w:bCs/>
        </w:rPr>
        <w:t>5</w:t>
      </w:r>
      <w:r w:rsidRPr="005B3F3E">
        <w:rPr>
          <w:b/>
          <w:bCs/>
        </w:rPr>
        <w:t xml:space="preserve">: The UE </w:t>
      </w:r>
      <w:r w:rsidRPr="005B3F3E">
        <w:rPr>
          <w:b/>
          <w:bCs/>
          <w:u w:val="single"/>
        </w:rPr>
        <w:t>may</w:t>
      </w:r>
      <w:r w:rsidRPr="005B3F3E">
        <w:rPr>
          <w:b/>
          <w:bCs/>
        </w:rPr>
        <w:t xml:space="preserve"> consider itself onboard of a vehicle hosting a mobile-IAB cell in case it is camping on a mobile-IAB cell or in case it has received the mobile-IAB cell for a prolonged </w:t>
      </w:r>
      <w:proofErr w:type="gramStart"/>
      <w:r w:rsidRPr="005B3F3E">
        <w:rPr>
          <w:b/>
          <w:bCs/>
        </w:rPr>
        <w:t>time period</w:t>
      </w:r>
      <w:proofErr w:type="gramEnd"/>
      <w:r w:rsidRPr="005B3F3E">
        <w:rPr>
          <w:b/>
          <w:bCs/>
        </w:rPr>
        <w:t>.</w:t>
      </w:r>
    </w:p>
    <w:p w14:paraId="4681C842" w14:textId="48554F8E" w:rsidR="00145DD6" w:rsidRPr="005B3F3E" w:rsidRDefault="00145DD6" w:rsidP="00145DD6">
      <w:pPr>
        <w:spacing w:after="160" w:line="259" w:lineRule="auto"/>
        <w:rPr>
          <w:b/>
          <w:bCs/>
          <w:lang w:val="en-US"/>
        </w:rPr>
      </w:pPr>
      <w:r w:rsidRPr="005B3F3E">
        <w:rPr>
          <w:b/>
          <w:bCs/>
        </w:rPr>
        <w:t xml:space="preserve">Proposal </w:t>
      </w:r>
      <w:r>
        <w:rPr>
          <w:b/>
          <w:bCs/>
        </w:rPr>
        <w:t>6</w:t>
      </w:r>
      <w:r w:rsidRPr="005B3F3E">
        <w:rPr>
          <w:b/>
          <w:bCs/>
        </w:rPr>
        <w:t xml:space="preserve">: The UE need not rely on its mobility state </w:t>
      </w:r>
      <w:r w:rsidR="00F430F6">
        <w:rPr>
          <w:b/>
          <w:bCs/>
        </w:rPr>
        <w:t xml:space="preserve">determination </w:t>
      </w:r>
      <w:r w:rsidRPr="005B3F3E">
        <w:rPr>
          <w:b/>
          <w:bCs/>
        </w:rPr>
        <w:t xml:space="preserve">when considering the reselection of a mobile-IAB cells. </w:t>
      </w:r>
    </w:p>
    <w:p w14:paraId="5C1F9A08" w14:textId="77777777" w:rsidR="00145DD6" w:rsidRPr="00145DD6" w:rsidRDefault="00145DD6" w:rsidP="001D15C1">
      <w:pPr>
        <w:spacing w:after="120"/>
        <w:rPr>
          <w:lang w:val="en-US"/>
        </w:rPr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0D0766E6" w:rsidR="00167A87" w:rsidRDefault="00BF49E1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Chairman </w:t>
      </w:r>
      <w:proofErr w:type="gramStart"/>
      <w:r w:rsidR="006A48C8">
        <w:rPr>
          <w:lang w:eastAsia="zh-CN"/>
        </w:rPr>
        <w:t>N</w:t>
      </w:r>
      <w:r>
        <w:rPr>
          <w:lang w:eastAsia="zh-CN"/>
        </w:rPr>
        <w:t>otes</w:t>
      </w:r>
      <w:r w:rsidR="00167A87" w:rsidRPr="00F04C08">
        <w:rPr>
          <w:lang w:val="en-US" w:eastAsia="zh-CN"/>
        </w:rPr>
        <w:t>;</w:t>
      </w:r>
      <w:proofErr w:type="gramEnd"/>
      <w:r w:rsidR="00167A87"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 xml:space="preserve">WG2 </w:t>
      </w:r>
      <w:r w:rsidR="00167A87" w:rsidRPr="00F04C08">
        <w:rPr>
          <w:lang w:val="en-US" w:eastAsia="zh-CN"/>
        </w:rPr>
        <w:t>Meeting #</w:t>
      </w:r>
      <w:r>
        <w:rPr>
          <w:lang w:val="en-US" w:eastAsia="zh-CN"/>
        </w:rPr>
        <w:t>11</w:t>
      </w:r>
      <w:r w:rsidR="00760022">
        <w:rPr>
          <w:lang w:val="en-US" w:eastAsia="zh-CN"/>
        </w:rPr>
        <w:t>2</w:t>
      </w:r>
      <w:r w:rsidR="00167A87" w:rsidRPr="00F04C08">
        <w:rPr>
          <w:lang w:val="en-US" w:eastAsia="zh-CN"/>
        </w:rPr>
        <w:t xml:space="preserve">, </w:t>
      </w:r>
      <w:r w:rsidR="00760022">
        <w:rPr>
          <w:lang w:val="en-US" w:eastAsia="zh-CN"/>
        </w:rPr>
        <w:t>Toulouse, France, November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EA0AAF">
        <w:rPr>
          <w:lang w:val="en-US" w:eastAsia="zh-CN"/>
        </w:rPr>
        <w:t>2</w:t>
      </w:r>
    </w:p>
    <w:p w14:paraId="6C8C2717" w14:textId="77777777" w:rsidR="00494EA9" w:rsidRDefault="00494EA9" w:rsidP="00494EA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D0310E">
        <w:rPr>
          <w:lang w:val="en-US" w:eastAsia="zh-CN"/>
        </w:rPr>
        <w:t xml:space="preserve">RP-222671, New WID on Mobile IAB, TSG RAN Meeting #97, </w:t>
      </w:r>
      <w:r>
        <w:rPr>
          <w:lang w:val="en-US" w:eastAsia="zh-CN"/>
        </w:rPr>
        <w:t xml:space="preserve">Electronic meeting, </w:t>
      </w:r>
      <w:r w:rsidRPr="00D0310E">
        <w:rPr>
          <w:lang w:val="en-US" w:eastAsia="zh-CN"/>
        </w:rPr>
        <w:t xml:space="preserve">September 2022 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8684" w14:textId="77777777" w:rsidR="00282E36" w:rsidRDefault="00282E36">
      <w:r>
        <w:separator/>
      </w:r>
    </w:p>
  </w:endnote>
  <w:endnote w:type="continuationSeparator" w:id="0">
    <w:p w14:paraId="6335A0B2" w14:textId="77777777" w:rsidR="00282E36" w:rsidRDefault="0028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966DC" w14:textId="77777777" w:rsidR="00282E36" w:rsidRDefault="00282E36">
      <w:r>
        <w:separator/>
      </w:r>
    </w:p>
  </w:footnote>
  <w:footnote w:type="continuationSeparator" w:id="0">
    <w:p w14:paraId="53C7BC87" w14:textId="77777777" w:rsidR="00282E36" w:rsidRDefault="00282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B147D"/>
    <w:multiLevelType w:val="hybridMultilevel"/>
    <w:tmpl w:val="49CA4BFC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5FC9"/>
    <w:multiLevelType w:val="multilevel"/>
    <w:tmpl w:val="D58CF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8336E"/>
    <w:multiLevelType w:val="hybridMultilevel"/>
    <w:tmpl w:val="637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61829"/>
    <w:multiLevelType w:val="hybridMultilevel"/>
    <w:tmpl w:val="874273F4"/>
    <w:lvl w:ilvl="0" w:tplc="A0847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42C45"/>
    <w:multiLevelType w:val="hybridMultilevel"/>
    <w:tmpl w:val="3548537A"/>
    <w:lvl w:ilvl="0" w:tplc="E39202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4C174A"/>
    <w:multiLevelType w:val="hybridMultilevel"/>
    <w:tmpl w:val="D9285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32941"/>
    <w:multiLevelType w:val="hybridMultilevel"/>
    <w:tmpl w:val="BA48EF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E090B"/>
    <w:multiLevelType w:val="hybridMultilevel"/>
    <w:tmpl w:val="A8AA1CA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 w15:restartNumberingAfterBreak="0">
    <w:nsid w:val="2D2E0B83"/>
    <w:multiLevelType w:val="hybridMultilevel"/>
    <w:tmpl w:val="D9CACE7A"/>
    <w:lvl w:ilvl="0" w:tplc="D8E669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C6433"/>
    <w:multiLevelType w:val="hybridMultilevel"/>
    <w:tmpl w:val="42B0E154"/>
    <w:lvl w:ilvl="0" w:tplc="32A8B95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F48D7"/>
    <w:multiLevelType w:val="hybridMultilevel"/>
    <w:tmpl w:val="35DA4D62"/>
    <w:lvl w:ilvl="0" w:tplc="28E8D9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678D1"/>
    <w:multiLevelType w:val="hybridMultilevel"/>
    <w:tmpl w:val="3976D696"/>
    <w:lvl w:ilvl="0" w:tplc="4C9679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F7950"/>
    <w:multiLevelType w:val="hybridMultilevel"/>
    <w:tmpl w:val="427037F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A36AD8"/>
    <w:multiLevelType w:val="hybridMultilevel"/>
    <w:tmpl w:val="713EF4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D7ED8"/>
    <w:multiLevelType w:val="hybridMultilevel"/>
    <w:tmpl w:val="05526BB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51BA1C9E"/>
    <w:multiLevelType w:val="hybridMultilevel"/>
    <w:tmpl w:val="990AC310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D2F11"/>
    <w:multiLevelType w:val="multilevel"/>
    <w:tmpl w:val="C962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748AB"/>
    <w:multiLevelType w:val="hybridMultilevel"/>
    <w:tmpl w:val="33862BC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F7745F"/>
    <w:multiLevelType w:val="hybridMultilevel"/>
    <w:tmpl w:val="424CD77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45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FC5DE2"/>
    <w:multiLevelType w:val="multilevel"/>
    <w:tmpl w:val="0458E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201637">
    <w:abstractNumId w:val="21"/>
  </w:num>
  <w:num w:numId="2" w16cid:durableId="337000327">
    <w:abstractNumId w:val="44"/>
  </w:num>
  <w:num w:numId="3" w16cid:durableId="297147906">
    <w:abstractNumId w:val="33"/>
  </w:num>
  <w:num w:numId="4" w16cid:durableId="1736317058">
    <w:abstractNumId w:val="12"/>
  </w:num>
  <w:num w:numId="5" w16cid:durableId="1676610652">
    <w:abstractNumId w:val="0"/>
  </w:num>
  <w:num w:numId="6" w16cid:durableId="1064451428">
    <w:abstractNumId w:val="35"/>
  </w:num>
  <w:num w:numId="7" w16cid:durableId="302470696">
    <w:abstractNumId w:val="32"/>
  </w:num>
  <w:num w:numId="8" w16cid:durableId="764157119">
    <w:abstractNumId w:val="45"/>
  </w:num>
  <w:num w:numId="9" w16cid:durableId="600992359">
    <w:abstractNumId w:val="22"/>
  </w:num>
  <w:num w:numId="10" w16cid:durableId="1816335033">
    <w:abstractNumId w:val="39"/>
  </w:num>
  <w:num w:numId="11" w16cid:durableId="487063667">
    <w:abstractNumId w:val="40"/>
  </w:num>
  <w:num w:numId="12" w16cid:durableId="2118332531">
    <w:abstractNumId w:val="5"/>
  </w:num>
  <w:num w:numId="13" w16cid:durableId="1112171965">
    <w:abstractNumId w:val="29"/>
  </w:num>
  <w:num w:numId="14" w16cid:durableId="541096878">
    <w:abstractNumId w:val="26"/>
  </w:num>
  <w:num w:numId="15" w16cid:durableId="1579167897">
    <w:abstractNumId w:val="36"/>
  </w:num>
  <w:num w:numId="16" w16cid:durableId="489754933">
    <w:abstractNumId w:val="20"/>
  </w:num>
  <w:num w:numId="17" w16cid:durableId="121769933">
    <w:abstractNumId w:val="28"/>
  </w:num>
  <w:num w:numId="18" w16cid:durableId="242762812">
    <w:abstractNumId w:val="34"/>
  </w:num>
  <w:num w:numId="19" w16cid:durableId="1483236954">
    <w:abstractNumId w:val="42"/>
  </w:num>
  <w:num w:numId="20" w16cid:durableId="580723923">
    <w:abstractNumId w:val="2"/>
  </w:num>
  <w:num w:numId="21" w16cid:durableId="622738068">
    <w:abstractNumId w:val="3"/>
  </w:num>
  <w:num w:numId="22" w16cid:durableId="1610700719">
    <w:abstractNumId w:val="11"/>
  </w:num>
  <w:num w:numId="23" w16cid:durableId="1844130441">
    <w:abstractNumId w:val="14"/>
  </w:num>
  <w:num w:numId="24" w16cid:durableId="2041320784">
    <w:abstractNumId w:val="7"/>
  </w:num>
  <w:num w:numId="25" w16cid:durableId="1000541949">
    <w:abstractNumId w:val="18"/>
  </w:num>
  <w:num w:numId="26" w16cid:durableId="1254627146">
    <w:abstractNumId w:val="6"/>
  </w:num>
  <w:num w:numId="27" w16cid:durableId="1352030558">
    <w:abstractNumId w:val="38"/>
  </w:num>
  <w:num w:numId="28" w16cid:durableId="122232278">
    <w:abstractNumId w:val="8"/>
  </w:num>
  <w:num w:numId="29" w16cid:durableId="1297835595">
    <w:abstractNumId w:val="9"/>
  </w:num>
  <w:num w:numId="30" w16cid:durableId="1715537579">
    <w:abstractNumId w:val="13"/>
  </w:num>
  <w:num w:numId="31" w16cid:durableId="2130514226">
    <w:abstractNumId w:val="44"/>
  </w:num>
  <w:num w:numId="32" w16cid:durableId="1917476669">
    <w:abstractNumId w:val="30"/>
  </w:num>
  <w:num w:numId="33" w16cid:durableId="1338734449">
    <w:abstractNumId w:val="17"/>
  </w:num>
  <w:num w:numId="34" w16cid:durableId="1787578001">
    <w:abstractNumId w:val="31"/>
  </w:num>
  <w:num w:numId="35" w16cid:durableId="1815876627">
    <w:abstractNumId w:val="41"/>
  </w:num>
  <w:num w:numId="36" w16cid:durableId="1019893118">
    <w:abstractNumId w:val="25"/>
  </w:num>
  <w:num w:numId="37" w16cid:durableId="684480041">
    <w:abstractNumId w:val="15"/>
  </w:num>
  <w:num w:numId="38" w16cid:durableId="1412434406">
    <w:abstractNumId w:val="1"/>
  </w:num>
  <w:num w:numId="39" w16cid:durableId="1661541480">
    <w:abstractNumId w:val="27"/>
  </w:num>
  <w:num w:numId="40" w16cid:durableId="841162197">
    <w:abstractNumId w:val="43"/>
  </w:num>
  <w:num w:numId="41" w16cid:durableId="210113513">
    <w:abstractNumId w:val="16"/>
  </w:num>
  <w:num w:numId="42" w16cid:durableId="1054542858">
    <w:abstractNumId w:val="10"/>
  </w:num>
  <w:num w:numId="43" w16cid:durableId="418140675">
    <w:abstractNumId w:val="19"/>
  </w:num>
  <w:num w:numId="44" w16cid:durableId="787045614">
    <w:abstractNumId w:val="24"/>
  </w:num>
  <w:num w:numId="45" w16cid:durableId="1124226881">
    <w:abstractNumId w:val="4"/>
    <w:lvlOverride w:ilvl="0">
      <w:startOverride w:val="1"/>
    </w:lvlOverride>
  </w:num>
  <w:num w:numId="46" w16cid:durableId="643898188">
    <w:abstractNumId w:val="37"/>
    <w:lvlOverride w:ilvl="0">
      <w:startOverride w:val="2"/>
    </w:lvlOverride>
  </w:num>
  <w:num w:numId="47" w16cid:durableId="1997802561">
    <w:abstractNumId w:val="46"/>
    <w:lvlOverride w:ilvl="0">
      <w:startOverride w:val="3"/>
    </w:lvlOverride>
  </w:num>
  <w:num w:numId="48" w16cid:durableId="92006481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40095"/>
    <w:rsid w:val="0004017A"/>
    <w:rsid w:val="00042439"/>
    <w:rsid w:val="0004341F"/>
    <w:rsid w:val="00044ED2"/>
    <w:rsid w:val="00045625"/>
    <w:rsid w:val="00046AE0"/>
    <w:rsid w:val="0004707F"/>
    <w:rsid w:val="0005117E"/>
    <w:rsid w:val="000516D8"/>
    <w:rsid w:val="00051F1E"/>
    <w:rsid w:val="0005270E"/>
    <w:rsid w:val="00056DB2"/>
    <w:rsid w:val="0006135D"/>
    <w:rsid w:val="00061505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0CEE"/>
    <w:rsid w:val="000926D3"/>
    <w:rsid w:val="00093164"/>
    <w:rsid w:val="000937B0"/>
    <w:rsid w:val="00096258"/>
    <w:rsid w:val="0009788E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4A15"/>
    <w:rsid w:val="000D58AB"/>
    <w:rsid w:val="000D6B39"/>
    <w:rsid w:val="000D7982"/>
    <w:rsid w:val="000E427B"/>
    <w:rsid w:val="000E49BE"/>
    <w:rsid w:val="000E55A2"/>
    <w:rsid w:val="000E5617"/>
    <w:rsid w:val="000E6697"/>
    <w:rsid w:val="000F03B7"/>
    <w:rsid w:val="000F2F84"/>
    <w:rsid w:val="000F30BC"/>
    <w:rsid w:val="000F342D"/>
    <w:rsid w:val="000F5547"/>
    <w:rsid w:val="000F5CC9"/>
    <w:rsid w:val="000F5DDE"/>
    <w:rsid w:val="000F796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495"/>
    <w:rsid w:val="0013234A"/>
    <w:rsid w:val="00134105"/>
    <w:rsid w:val="0013487C"/>
    <w:rsid w:val="00135C51"/>
    <w:rsid w:val="00135EC2"/>
    <w:rsid w:val="00137B44"/>
    <w:rsid w:val="00140C86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43BB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6C23"/>
    <w:rsid w:val="00196DF8"/>
    <w:rsid w:val="0019788E"/>
    <w:rsid w:val="001A16DE"/>
    <w:rsid w:val="001A2B4C"/>
    <w:rsid w:val="001A33F0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5C1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0646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3614D"/>
    <w:rsid w:val="002364A5"/>
    <w:rsid w:val="00242D19"/>
    <w:rsid w:val="0024485F"/>
    <w:rsid w:val="00245B7D"/>
    <w:rsid w:val="00250812"/>
    <w:rsid w:val="00250B04"/>
    <w:rsid w:val="0025406F"/>
    <w:rsid w:val="00254484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2E36"/>
    <w:rsid w:val="0028311E"/>
    <w:rsid w:val="002855BF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AB9"/>
    <w:rsid w:val="002D4340"/>
    <w:rsid w:val="002D50EB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18DC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434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24E1"/>
    <w:rsid w:val="00342578"/>
    <w:rsid w:val="00343C86"/>
    <w:rsid w:val="00344236"/>
    <w:rsid w:val="003442D2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492C"/>
    <w:rsid w:val="00435311"/>
    <w:rsid w:val="004378F1"/>
    <w:rsid w:val="00437E0C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67A94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2258"/>
    <w:rsid w:val="00492558"/>
    <w:rsid w:val="00494EA9"/>
    <w:rsid w:val="0049656C"/>
    <w:rsid w:val="004972DD"/>
    <w:rsid w:val="004A0319"/>
    <w:rsid w:val="004A087E"/>
    <w:rsid w:val="004A2B72"/>
    <w:rsid w:val="004A2D7D"/>
    <w:rsid w:val="004A32F3"/>
    <w:rsid w:val="004A4700"/>
    <w:rsid w:val="004A59FA"/>
    <w:rsid w:val="004A68F4"/>
    <w:rsid w:val="004B20E3"/>
    <w:rsid w:val="004B39DD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D383A"/>
    <w:rsid w:val="004E0C79"/>
    <w:rsid w:val="004E0CD4"/>
    <w:rsid w:val="004E213A"/>
    <w:rsid w:val="004E2917"/>
    <w:rsid w:val="004E383E"/>
    <w:rsid w:val="004E48C4"/>
    <w:rsid w:val="004E7CCA"/>
    <w:rsid w:val="004F0DE1"/>
    <w:rsid w:val="004F10A5"/>
    <w:rsid w:val="004F156A"/>
    <w:rsid w:val="004F158C"/>
    <w:rsid w:val="004F51B8"/>
    <w:rsid w:val="004F76F3"/>
    <w:rsid w:val="00502735"/>
    <w:rsid w:val="00502BC6"/>
    <w:rsid w:val="00503171"/>
    <w:rsid w:val="005037A0"/>
    <w:rsid w:val="0050524D"/>
    <w:rsid w:val="00506C28"/>
    <w:rsid w:val="00511F56"/>
    <w:rsid w:val="0051299A"/>
    <w:rsid w:val="00516518"/>
    <w:rsid w:val="005166D3"/>
    <w:rsid w:val="005169F2"/>
    <w:rsid w:val="0051770A"/>
    <w:rsid w:val="00522978"/>
    <w:rsid w:val="005234CD"/>
    <w:rsid w:val="00523FEE"/>
    <w:rsid w:val="00527DE0"/>
    <w:rsid w:val="00531145"/>
    <w:rsid w:val="00532A92"/>
    <w:rsid w:val="00534DA0"/>
    <w:rsid w:val="0053506A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20E6"/>
    <w:rsid w:val="00593B6E"/>
    <w:rsid w:val="0059652A"/>
    <w:rsid w:val="005A0B84"/>
    <w:rsid w:val="005A0BC5"/>
    <w:rsid w:val="005A14B6"/>
    <w:rsid w:val="005A166D"/>
    <w:rsid w:val="005A6916"/>
    <w:rsid w:val="005A73AD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53AD"/>
    <w:rsid w:val="005D5447"/>
    <w:rsid w:val="005D661E"/>
    <w:rsid w:val="005E1A07"/>
    <w:rsid w:val="005E359C"/>
    <w:rsid w:val="005E5D4F"/>
    <w:rsid w:val="005E6A6C"/>
    <w:rsid w:val="005F071B"/>
    <w:rsid w:val="005F21F1"/>
    <w:rsid w:val="005F2EDF"/>
    <w:rsid w:val="005F3692"/>
    <w:rsid w:val="005F4E8E"/>
    <w:rsid w:val="005F70C3"/>
    <w:rsid w:val="005F7843"/>
    <w:rsid w:val="0060164A"/>
    <w:rsid w:val="00602641"/>
    <w:rsid w:val="00603219"/>
    <w:rsid w:val="00604765"/>
    <w:rsid w:val="00605118"/>
    <w:rsid w:val="006067A4"/>
    <w:rsid w:val="006112AF"/>
    <w:rsid w:val="00611566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1DBD"/>
    <w:rsid w:val="00632222"/>
    <w:rsid w:val="00635F47"/>
    <w:rsid w:val="00641F14"/>
    <w:rsid w:val="00642C4E"/>
    <w:rsid w:val="0064411C"/>
    <w:rsid w:val="006454FE"/>
    <w:rsid w:val="00645D44"/>
    <w:rsid w:val="006465F3"/>
    <w:rsid w:val="00646B77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48C8"/>
    <w:rsid w:val="006A5153"/>
    <w:rsid w:val="006A54BE"/>
    <w:rsid w:val="006A6944"/>
    <w:rsid w:val="006B0254"/>
    <w:rsid w:val="006B1EBB"/>
    <w:rsid w:val="006B4D84"/>
    <w:rsid w:val="006B605E"/>
    <w:rsid w:val="006B6466"/>
    <w:rsid w:val="006B7943"/>
    <w:rsid w:val="006C1519"/>
    <w:rsid w:val="006C4CC8"/>
    <w:rsid w:val="006C6225"/>
    <w:rsid w:val="006C66D8"/>
    <w:rsid w:val="006C768F"/>
    <w:rsid w:val="006C7F23"/>
    <w:rsid w:val="006D0C80"/>
    <w:rsid w:val="006D0EC9"/>
    <w:rsid w:val="006D1466"/>
    <w:rsid w:val="006D1E24"/>
    <w:rsid w:val="006D21DD"/>
    <w:rsid w:val="006D26EE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7896"/>
    <w:rsid w:val="00730422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4A9"/>
    <w:rsid w:val="0075199C"/>
    <w:rsid w:val="00753591"/>
    <w:rsid w:val="007542F1"/>
    <w:rsid w:val="00754F5F"/>
    <w:rsid w:val="00757D40"/>
    <w:rsid w:val="00760022"/>
    <w:rsid w:val="00761B1F"/>
    <w:rsid w:val="007633DD"/>
    <w:rsid w:val="007636D3"/>
    <w:rsid w:val="007658B7"/>
    <w:rsid w:val="007665C4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4C8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2D7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D40"/>
    <w:rsid w:val="008028A4"/>
    <w:rsid w:val="00802F07"/>
    <w:rsid w:val="0080333D"/>
    <w:rsid w:val="00805E0B"/>
    <w:rsid w:val="00806310"/>
    <w:rsid w:val="00812B0C"/>
    <w:rsid w:val="00813245"/>
    <w:rsid w:val="00815481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1FB"/>
    <w:rsid w:val="008324A5"/>
    <w:rsid w:val="00834604"/>
    <w:rsid w:val="00834A6D"/>
    <w:rsid w:val="00835415"/>
    <w:rsid w:val="00845E80"/>
    <w:rsid w:val="008460EF"/>
    <w:rsid w:val="0084763A"/>
    <w:rsid w:val="00850BBB"/>
    <w:rsid w:val="00850CBF"/>
    <w:rsid w:val="00851218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192A"/>
    <w:rsid w:val="008B44F1"/>
    <w:rsid w:val="008B477F"/>
    <w:rsid w:val="008B5306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62D3"/>
    <w:rsid w:val="00907DD2"/>
    <w:rsid w:val="00911A3A"/>
    <w:rsid w:val="00911DEA"/>
    <w:rsid w:val="00912CD4"/>
    <w:rsid w:val="00915711"/>
    <w:rsid w:val="0091771F"/>
    <w:rsid w:val="00917ABE"/>
    <w:rsid w:val="0092024A"/>
    <w:rsid w:val="00921F58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3958"/>
    <w:rsid w:val="009454B8"/>
    <w:rsid w:val="00945B30"/>
    <w:rsid w:val="009466BE"/>
    <w:rsid w:val="00946A16"/>
    <w:rsid w:val="0094798C"/>
    <w:rsid w:val="00952A0E"/>
    <w:rsid w:val="0095306B"/>
    <w:rsid w:val="0095382B"/>
    <w:rsid w:val="00955470"/>
    <w:rsid w:val="009556D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136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E84"/>
    <w:rsid w:val="00A00EC3"/>
    <w:rsid w:val="00A03918"/>
    <w:rsid w:val="00A03B42"/>
    <w:rsid w:val="00A05DE2"/>
    <w:rsid w:val="00A067FE"/>
    <w:rsid w:val="00A10F02"/>
    <w:rsid w:val="00A11888"/>
    <w:rsid w:val="00A14E25"/>
    <w:rsid w:val="00A15FB2"/>
    <w:rsid w:val="00A16DF1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76C"/>
    <w:rsid w:val="00A44AE9"/>
    <w:rsid w:val="00A45665"/>
    <w:rsid w:val="00A52986"/>
    <w:rsid w:val="00A52CC6"/>
    <w:rsid w:val="00A53724"/>
    <w:rsid w:val="00A54875"/>
    <w:rsid w:val="00A55549"/>
    <w:rsid w:val="00A566A2"/>
    <w:rsid w:val="00A57AD8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2346"/>
    <w:rsid w:val="00A825BF"/>
    <w:rsid w:val="00A845B8"/>
    <w:rsid w:val="00A85BB3"/>
    <w:rsid w:val="00A87209"/>
    <w:rsid w:val="00A914AD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52B0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6C5B"/>
    <w:rsid w:val="00AE7394"/>
    <w:rsid w:val="00AE7935"/>
    <w:rsid w:val="00AF1C7D"/>
    <w:rsid w:val="00AF20A6"/>
    <w:rsid w:val="00AF2778"/>
    <w:rsid w:val="00AF3563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3E45"/>
    <w:rsid w:val="00B359B7"/>
    <w:rsid w:val="00B36BDD"/>
    <w:rsid w:val="00B40295"/>
    <w:rsid w:val="00B40C67"/>
    <w:rsid w:val="00B422C3"/>
    <w:rsid w:val="00B42667"/>
    <w:rsid w:val="00B444B8"/>
    <w:rsid w:val="00B4746E"/>
    <w:rsid w:val="00B47FD1"/>
    <w:rsid w:val="00B516BB"/>
    <w:rsid w:val="00B51B0A"/>
    <w:rsid w:val="00B5205D"/>
    <w:rsid w:val="00B52D96"/>
    <w:rsid w:val="00B53C45"/>
    <w:rsid w:val="00B54665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DD7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782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6BDB"/>
    <w:rsid w:val="00C47D2D"/>
    <w:rsid w:val="00C47F3D"/>
    <w:rsid w:val="00C51D27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5572"/>
    <w:rsid w:val="00C903F3"/>
    <w:rsid w:val="00C9068C"/>
    <w:rsid w:val="00C91051"/>
    <w:rsid w:val="00C9285D"/>
    <w:rsid w:val="00C92967"/>
    <w:rsid w:val="00C9499A"/>
    <w:rsid w:val="00C96B15"/>
    <w:rsid w:val="00C96CAE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1F68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15EF"/>
    <w:rsid w:val="00D0310E"/>
    <w:rsid w:val="00D03911"/>
    <w:rsid w:val="00D04103"/>
    <w:rsid w:val="00D048E7"/>
    <w:rsid w:val="00D05C9E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476"/>
    <w:rsid w:val="00D50FAB"/>
    <w:rsid w:val="00D53F4D"/>
    <w:rsid w:val="00D548D7"/>
    <w:rsid w:val="00D54EF9"/>
    <w:rsid w:val="00D57B51"/>
    <w:rsid w:val="00D6117F"/>
    <w:rsid w:val="00D62E82"/>
    <w:rsid w:val="00D63BB4"/>
    <w:rsid w:val="00D641AE"/>
    <w:rsid w:val="00D646DB"/>
    <w:rsid w:val="00D64B2D"/>
    <w:rsid w:val="00D66F34"/>
    <w:rsid w:val="00D679C7"/>
    <w:rsid w:val="00D738D6"/>
    <w:rsid w:val="00D73F4E"/>
    <w:rsid w:val="00D742F4"/>
    <w:rsid w:val="00D75638"/>
    <w:rsid w:val="00D80795"/>
    <w:rsid w:val="00D80F5E"/>
    <w:rsid w:val="00D82DC3"/>
    <w:rsid w:val="00D8694E"/>
    <w:rsid w:val="00D870B2"/>
    <w:rsid w:val="00D87A08"/>
    <w:rsid w:val="00D87E00"/>
    <w:rsid w:val="00D90718"/>
    <w:rsid w:val="00D9134D"/>
    <w:rsid w:val="00D91BCA"/>
    <w:rsid w:val="00D92B08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0F4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DDC"/>
    <w:rsid w:val="00E925C9"/>
    <w:rsid w:val="00E92B2F"/>
    <w:rsid w:val="00E9444B"/>
    <w:rsid w:val="00E94C85"/>
    <w:rsid w:val="00EA00A8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A06"/>
    <w:rsid w:val="00EC717A"/>
    <w:rsid w:val="00ED07E4"/>
    <w:rsid w:val="00ED09BF"/>
    <w:rsid w:val="00ED1D93"/>
    <w:rsid w:val="00ED20B1"/>
    <w:rsid w:val="00ED43A5"/>
    <w:rsid w:val="00EE1512"/>
    <w:rsid w:val="00EE217F"/>
    <w:rsid w:val="00EE4120"/>
    <w:rsid w:val="00EE44AD"/>
    <w:rsid w:val="00EE78CE"/>
    <w:rsid w:val="00EE7D61"/>
    <w:rsid w:val="00EF1E0A"/>
    <w:rsid w:val="00EF267F"/>
    <w:rsid w:val="00EF2758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30F6"/>
    <w:rsid w:val="00F44FCE"/>
    <w:rsid w:val="00F47078"/>
    <w:rsid w:val="00F4731F"/>
    <w:rsid w:val="00F52DBE"/>
    <w:rsid w:val="00F53AAD"/>
    <w:rsid w:val="00F53C8B"/>
    <w:rsid w:val="00F5490A"/>
    <w:rsid w:val="00F54A3D"/>
    <w:rsid w:val="00F54F7D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63B6"/>
    <w:rsid w:val="00FC77D8"/>
    <w:rsid w:val="00FD03E5"/>
    <w:rsid w:val="00FD1FA7"/>
    <w:rsid w:val="00FD2CBF"/>
    <w:rsid w:val="00FD3E22"/>
    <w:rsid w:val="00FD4EDD"/>
    <w:rsid w:val="00FD55F1"/>
    <w:rsid w:val="00FD7FDF"/>
    <w:rsid w:val="00FE0DB2"/>
    <w:rsid w:val="00FE55FB"/>
    <w:rsid w:val="00FE5909"/>
    <w:rsid w:val="00FF0142"/>
    <w:rsid w:val="00FF05DE"/>
    <w:rsid w:val="00FF0BC3"/>
    <w:rsid w:val="00FF122E"/>
    <w:rsid w:val="00FF1498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 Hampel</cp:lastModifiedBy>
  <cp:revision>2</cp:revision>
  <dcterms:created xsi:type="dcterms:W3CDTF">2023-02-16T18:11:00Z</dcterms:created>
  <dcterms:modified xsi:type="dcterms:W3CDTF">2023-02-16T18:11:00Z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